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56" w:rsidRDefault="00151B91">
      <w:pPr>
        <w:spacing w:after="67" w:line="259" w:lineRule="auto"/>
        <w:ind w:left="1248" w:right="1257" w:firstLine="0"/>
        <w:jc w:val="center"/>
      </w:pPr>
      <w:r>
        <w:rPr>
          <w:b/>
        </w:rPr>
        <w:t>XI</w:t>
      </w:r>
      <w:r>
        <w:rPr>
          <w:b/>
          <w:lang w:val="en-US"/>
        </w:rPr>
        <w:t>I</w:t>
      </w:r>
      <w:r>
        <w:rPr>
          <w:b/>
        </w:rPr>
        <w:t xml:space="preserve"> Всероссийская конференция с международным участием  </w:t>
      </w:r>
    </w:p>
    <w:p w:rsidR="00151B91" w:rsidRDefault="00151B91">
      <w:pPr>
        <w:spacing w:after="0" w:line="363" w:lineRule="auto"/>
        <w:ind w:left="1339" w:right="1256" w:hanging="91"/>
        <w:jc w:val="center"/>
        <w:rPr>
          <w:b/>
        </w:rPr>
      </w:pPr>
      <w:r>
        <w:rPr>
          <w:b/>
        </w:rPr>
        <w:t>«Современные проблемы оптики естественных вод» (ONW’2023) Санкт-Петербург, 25 - 2</w:t>
      </w:r>
      <w:r w:rsidRPr="00151B91">
        <w:rPr>
          <w:b/>
        </w:rPr>
        <w:t>7</w:t>
      </w:r>
      <w:r>
        <w:rPr>
          <w:b/>
        </w:rPr>
        <w:t xml:space="preserve"> октября 2023</w:t>
      </w:r>
      <w:r>
        <w:rPr>
          <w:b/>
        </w:rPr>
        <w:t xml:space="preserve"> г. </w:t>
      </w:r>
    </w:p>
    <w:p w:rsidR="006A1956" w:rsidRDefault="00151B91">
      <w:pPr>
        <w:spacing w:after="0" w:line="363" w:lineRule="auto"/>
        <w:ind w:left="1339" w:right="1256" w:hanging="91"/>
        <w:jc w:val="center"/>
      </w:pPr>
      <w:r>
        <w:t xml:space="preserve">Уважаемые участники конференции </w:t>
      </w:r>
      <w:r>
        <w:rPr>
          <w:b/>
        </w:rPr>
        <w:t>ONW’2023</w:t>
      </w:r>
      <w:r>
        <w:t xml:space="preserve">! </w:t>
      </w:r>
    </w:p>
    <w:p w:rsidR="006A1956" w:rsidRDefault="00151B91">
      <w:pPr>
        <w:ind w:left="0" w:right="0" w:firstLine="284"/>
      </w:pPr>
      <w:r>
        <w:t>Обращаем ваше внимание на необходимость соблюдения правил оформления представляемых материалов. Доклады будут воспроизведены непосредственно с авторского текста. Оригинал текста доклада должен быть тщательно отредактирован и представлен по электронной почт</w:t>
      </w:r>
      <w:r>
        <w:t xml:space="preserve">е.  </w:t>
      </w:r>
    </w:p>
    <w:p w:rsidR="006A1956" w:rsidRDefault="00151B91">
      <w:pPr>
        <w:spacing w:after="36" w:line="244" w:lineRule="auto"/>
        <w:ind w:left="-15" w:right="-13" w:firstLine="284"/>
      </w:pPr>
      <w:r>
        <w:rPr>
          <w:b/>
        </w:rPr>
        <w:t xml:space="preserve">Доклады не редактируются, но дорабатываются по замечаниям Программного комитета конференции. </w:t>
      </w:r>
    </w:p>
    <w:p w:rsidR="006A1956" w:rsidRDefault="00151B91">
      <w:pPr>
        <w:spacing w:after="165" w:line="259" w:lineRule="auto"/>
        <w:ind w:left="0" w:right="0" w:firstLine="0"/>
        <w:jc w:val="left"/>
      </w:pPr>
      <w:r>
        <w:rPr>
          <w:sz w:val="10"/>
        </w:rPr>
        <w:t xml:space="preserve"> </w:t>
      </w:r>
    </w:p>
    <w:p w:rsidR="006A1956" w:rsidRDefault="00151B91">
      <w:pPr>
        <w:numPr>
          <w:ilvl w:val="0"/>
          <w:numId w:val="1"/>
        </w:numPr>
        <w:ind w:right="0" w:hanging="276"/>
      </w:pPr>
      <w:r>
        <w:t xml:space="preserve">Доклад может быть представлен на русском и/или английском языках объемом до 6-ти полных страниц. Аннотации, иллюстрации, таблицы и литература включаются в </w:t>
      </w:r>
      <w:r>
        <w:t xml:space="preserve">общее число страниц. </w:t>
      </w:r>
    </w:p>
    <w:p w:rsidR="006A1956" w:rsidRDefault="00151B91">
      <w:pPr>
        <w:numPr>
          <w:ilvl w:val="0"/>
          <w:numId w:val="1"/>
        </w:numPr>
        <w:ind w:right="0" w:hanging="276"/>
      </w:pPr>
      <w:r>
        <w:t xml:space="preserve">Текст доклада предоставляется в текстовом редакторе MS </w:t>
      </w:r>
      <w:proofErr w:type="spellStart"/>
      <w:r>
        <w:t>Word</w:t>
      </w:r>
      <w:proofErr w:type="spellEnd"/>
      <w:r>
        <w:t xml:space="preserve"> 97-2003 и старше, шрифт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t xml:space="preserve">, междустрочный интервал – одинарный. Рисунки должны быть вставлены в текст как цветные или черно-белые файлы формата </w:t>
      </w:r>
      <w:r>
        <w:rPr>
          <w:b/>
        </w:rPr>
        <w:t>*.JPEG, *.JPG или</w:t>
      </w:r>
      <w:r>
        <w:rPr>
          <w:b/>
        </w:rPr>
        <w:t xml:space="preserve"> *.PCX</w:t>
      </w:r>
      <w:r>
        <w:t xml:space="preserve">. 3. Используется формат А4 (210*297), поля сверху, снизу, слева и справа по 2,5 см, переплет 0, от верхнего и нижнего колонтитулов – 1,25 см. </w:t>
      </w:r>
    </w:p>
    <w:p w:rsidR="006A1956" w:rsidRDefault="00151B91">
      <w:pPr>
        <w:numPr>
          <w:ilvl w:val="0"/>
          <w:numId w:val="2"/>
        </w:numPr>
        <w:ind w:right="0" w:hanging="284"/>
      </w:pPr>
      <w:r>
        <w:t>Текст доклада начинается с его названия, которое пишется с начала строки без абзацного отступа и точки в к</w:t>
      </w:r>
      <w:r>
        <w:t xml:space="preserve">онце шрифтом </w:t>
      </w:r>
      <w:r>
        <w:rPr>
          <w:b/>
        </w:rPr>
        <w:t>кегль 12</w:t>
      </w:r>
      <w:r>
        <w:t xml:space="preserve"> ПРОПИСНЫМИ БУКВАМИ. В названии доклада не допускаются сокращения, кроме общепринятых. </w:t>
      </w:r>
    </w:p>
    <w:p w:rsidR="006A1956" w:rsidRDefault="00151B91">
      <w:pPr>
        <w:ind w:left="281" w:right="0"/>
      </w:pPr>
      <w:r>
        <w:t>На следующей строке - инициалы и фамилия автора(</w:t>
      </w:r>
      <w:proofErr w:type="spellStart"/>
      <w:r>
        <w:t>ов</w:t>
      </w:r>
      <w:proofErr w:type="spellEnd"/>
      <w:r>
        <w:t xml:space="preserve">) шрифтом </w:t>
      </w:r>
      <w:r>
        <w:rPr>
          <w:b/>
        </w:rPr>
        <w:t>кегль 11</w:t>
      </w:r>
      <w:r>
        <w:t xml:space="preserve">. </w:t>
      </w:r>
    </w:p>
    <w:p w:rsidR="006A1956" w:rsidRDefault="00151B91">
      <w:pPr>
        <w:ind w:left="281" w:right="0"/>
      </w:pPr>
      <w:r>
        <w:t>На следующей строке - название организации, город, страна, шрифтом кегль 11.</w:t>
      </w:r>
      <w:r>
        <w:t xml:space="preserve"> </w:t>
      </w:r>
    </w:p>
    <w:p w:rsidR="006A1956" w:rsidRDefault="00151B91">
      <w:pPr>
        <w:numPr>
          <w:ilvl w:val="0"/>
          <w:numId w:val="2"/>
        </w:numPr>
        <w:ind w:right="0" w:hanging="284"/>
      </w:pPr>
      <w:r>
        <w:t xml:space="preserve">Упомянутые сведения повторяются на английском языке после пропуска в один интервал. </w:t>
      </w:r>
    </w:p>
    <w:p w:rsidR="006A1956" w:rsidRDefault="00151B91">
      <w:pPr>
        <w:numPr>
          <w:ilvl w:val="0"/>
          <w:numId w:val="2"/>
        </w:numPr>
        <w:ind w:right="0" w:hanging="284"/>
      </w:pPr>
      <w:r>
        <w:t xml:space="preserve">Далее с пропуском в один интервал приводится аннотация на русском языке. </w:t>
      </w:r>
    </w:p>
    <w:p w:rsidR="006A1956" w:rsidRDefault="00151B91">
      <w:pPr>
        <w:ind w:left="281" w:right="0"/>
      </w:pPr>
      <w:r>
        <w:t>Аннотация доклада должна состоять из одного абзаца до 200 знаков без учета пробелов. Печатается</w:t>
      </w:r>
      <w:r>
        <w:t xml:space="preserve"> без отступа от края страницы шрифтом </w:t>
      </w:r>
      <w:r>
        <w:rPr>
          <w:b/>
        </w:rPr>
        <w:t>кегль 10 курсив</w:t>
      </w:r>
      <w:r>
        <w:t xml:space="preserve">, текст устанавливается по ширине всей страницы. </w:t>
      </w:r>
    </w:p>
    <w:p w:rsidR="006A1956" w:rsidRDefault="00151B91">
      <w:pPr>
        <w:ind w:left="281" w:right="0"/>
      </w:pPr>
      <w:r>
        <w:t xml:space="preserve">После аннотации на русском языке с пропуском в один интервал приводится аннотация на английском языке (точный перевод). </w:t>
      </w:r>
    </w:p>
    <w:p w:rsidR="006A1956" w:rsidRDefault="00151B91">
      <w:pPr>
        <w:numPr>
          <w:ilvl w:val="0"/>
          <w:numId w:val="2"/>
        </w:numPr>
        <w:ind w:right="0" w:hanging="284"/>
      </w:pPr>
      <w:r>
        <w:t xml:space="preserve">Основной текст доклада печатается через два интервала от английского варианта аннотации шрифтом </w:t>
      </w:r>
      <w:r>
        <w:rPr>
          <w:b/>
        </w:rPr>
        <w:t>кегль 11</w:t>
      </w:r>
      <w:r>
        <w:t>. Сокращенные названия в тексте должны быть расшифрованы, нумерация формул при ссылке на них в тексте производится справа в конце строки в круглых скобк</w:t>
      </w:r>
      <w:r>
        <w:t xml:space="preserve">ах - (1), ссылки на литературу в квадратных скобках – [1]. </w:t>
      </w:r>
    </w:p>
    <w:p w:rsidR="006A1956" w:rsidRDefault="00151B91">
      <w:pPr>
        <w:ind w:left="281" w:right="0"/>
      </w:pPr>
      <w:r>
        <w:t xml:space="preserve">Формулы (нежирный шрифт) следует набирать в оригинальном </w:t>
      </w:r>
      <w:r>
        <w:rPr>
          <w:b/>
        </w:rPr>
        <w:t>редакторе формул</w:t>
      </w:r>
      <w:r>
        <w:t xml:space="preserve"> непосредственно в тексте. </w:t>
      </w:r>
    </w:p>
    <w:p w:rsidR="006A1956" w:rsidRDefault="00151B91">
      <w:pPr>
        <w:ind w:left="281" w:right="0"/>
      </w:pPr>
      <w:r>
        <w:t xml:space="preserve">Отступы подзаголовков текста (жирный шрифт) и абзацев, начиная с первого, </w:t>
      </w:r>
      <w:r>
        <w:rPr>
          <w:b/>
        </w:rPr>
        <w:t>0,6 см</w:t>
      </w:r>
      <w:r>
        <w:t xml:space="preserve">. </w:t>
      </w:r>
    </w:p>
    <w:p w:rsidR="006A1956" w:rsidRDefault="00151B91">
      <w:pPr>
        <w:numPr>
          <w:ilvl w:val="0"/>
          <w:numId w:val="2"/>
        </w:numPr>
        <w:ind w:right="0" w:hanging="284"/>
      </w:pPr>
      <w:r>
        <w:t xml:space="preserve">Иллюстрации </w:t>
      </w:r>
      <w:r>
        <w:t>и таблицы должны иметь названия, законченный вид и располагаться по тексту непосредственно после ссылки. Названия иллюстраций и таблиц должны представлять собой самостоятельный текст, не включенный в рамки иллюстраций, и набраны с использованием тех же шри</w:t>
      </w:r>
      <w:r>
        <w:t xml:space="preserve">фтов, что и основной текст.  </w:t>
      </w:r>
    </w:p>
    <w:p w:rsidR="006A1956" w:rsidRDefault="00151B91">
      <w:pPr>
        <w:ind w:left="281" w:right="0"/>
      </w:pPr>
      <w:r>
        <w:t xml:space="preserve">Название иллюстрации (Рис. 1. Зависимость…) следует располагать ниже рисунка после пропуска в один интервал. </w:t>
      </w:r>
    </w:p>
    <w:p w:rsidR="006A1956" w:rsidRDefault="00151B91">
      <w:pPr>
        <w:ind w:left="281" w:right="0"/>
      </w:pPr>
      <w:r>
        <w:lastRenderedPageBreak/>
        <w:t>Название таблицы (Таблица 1. Характеристики…) следует располагать над таблицей с пропуском в один интервал от предыд</w:t>
      </w:r>
      <w:r>
        <w:t xml:space="preserve">ущего текста. </w:t>
      </w:r>
    </w:p>
    <w:p w:rsidR="006A1956" w:rsidRDefault="00151B91">
      <w:pPr>
        <w:ind w:left="281" w:right="0"/>
      </w:pPr>
      <w:r>
        <w:t xml:space="preserve">Начало названий иллюстраций и таблиц должны совпадать с началом их левого края. </w:t>
      </w:r>
    </w:p>
    <w:p w:rsidR="006A1956" w:rsidRDefault="00151B91">
      <w:pPr>
        <w:numPr>
          <w:ilvl w:val="0"/>
          <w:numId w:val="2"/>
        </w:numPr>
        <w:ind w:right="0" w:hanging="284"/>
      </w:pPr>
      <w:r>
        <w:t xml:space="preserve">Нумерация страниц не производится. </w:t>
      </w:r>
    </w:p>
    <w:p w:rsidR="006A1956" w:rsidRDefault="00151B91">
      <w:pPr>
        <w:ind w:left="284" w:right="0" w:hanging="284"/>
      </w:pPr>
      <w:r>
        <w:t>10.Список литературы составляется по порядку ссылок в тексте. Слово «Л</w:t>
      </w:r>
      <w:r>
        <w:rPr>
          <w:b/>
        </w:rPr>
        <w:t>итература</w:t>
      </w:r>
      <w:r>
        <w:t>» печатается жирным шрифтом без абзацного отс</w:t>
      </w:r>
      <w:r>
        <w:t xml:space="preserve">тупа через одну строку </w:t>
      </w:r>
      <w:proofErr w:type="spellStart"/>
      <w:r>
        <w:t>oт</w:t>
      </w:r>
      <w:proofErr w:type="spellEnd"/>
      <w:r>
        <w:t xml:space="preserve"> последней строки основного текста доклада. Список литературы оформляется в соответствии с образцом, шрифтом кегль 10. </w:t>
      </w:r>
    </w:p>
    <w:p w:rsidR="006A1956" w:rsidRDefault="00151B91">
      <w:pPr>
        <w:spacing w:after="0" w:line="259" w:lineRule="auto"/>
        <w:ind w:left="0" w:right="286" w:firstLine="0"/>
        <w:jc w:val="right"/>
      </w:pPr>
      <w:r>
        <w:rPr>
          <w:b/>
        </w:rPr>
        <w:t xml:space="preserve">ОБРАЗЕЦ </w:t>
      </w:r>
    </w:p>
    <w:p w:rsidR="006A1956" w:rsidRDefault="00151B91">
      <w:pPr>
        <w:spacing w:after="22" w:line="259" w:lineRule="auto"/>
        <w:ind w:left="0" w:right="228" w:firstLine="0"/>
        <w:jc w:val="right"/>
      </w:pPr>
      <w:r>
        <w:t xml:space="preserve"> </w:t>
      </w:r>
    </w:p>
    <w:p w:rsidR="006A1956" w:rsidRDefault="00151B91">
      <w:pPr>
        <w:ind w:left="281" w:right="0"/>
      </w:pPr>
      <w:r>
        <w:t xml:space="preserve">ПРИКЛАДНЫЕ ТЕХНОЛОГИИ </w:t>
      </w:r>
    </w:p>
    <w:p w:rsidR="006A1956" w:rsidRDefault="00151B91">
      <w:pPr>
        <w:spacing w:after="27" w:line="259" w:lineRule="auto"/>
        <w:ind w:left="281" w:right="1139"/>
        <w:jc w:val="left"/>
      </w:pPr>
      <w:r>
        <w:rPr>
          <w:sz w:val="20"/>
        </w:rPr>
        <w:t>А.А.Иванов</w:t>
      </w:r>
      <w:r>
        <w:rPr>
          <w:sz w:val="20"/>
          <w:vertAlign w:val="superscript"/>
        </w:rPr>
        <w:t>1</w:t>
      </w:r>
      <w:r>
        <w:rPr>
          <w:sz w:val="20"/>
        </w:rPr>
        <w:t>, И.Р.Лавров</w:t>
      </w:r>
      <w:r>
        <w:rPr>
          <w:sz w:val="20"/>
          <w:vertAlign w:val="superscript"/>
        </w:rPr>
        <w:t>1</w:t>
      </w:r>
      <w:r>
        <w:rPr>
          <w:sz w:val="20"/>
        </w:rPr>
        <w:t>, канд.</w:t>
      </w:r>
      <w:proofErr w:type="spellStart"/>
      <w:r>
        <w:rPr>
          <w:sz w:val="20"/>
        </w:rPr>
        <w:t>физ</w:t>
      </w:r>
      <w:proofErr w:type="spellEnd"/>
      <w:r>
        <w:rPr>
          <w:sz w:val="20"/>
        </w:rPr>
        <w:t>.-</w:t>
      </w:r>
      <w:proofErr w:type="spellStart"/>
      <w:proofErr w:type="gramStart"/>
      <w:r>
        <w:rPr>
          <w:sz w:val="20"/>
        </w:rPr>
        <w:t>мат.наук</w:t>
      </w:r>
      <w:proofErr w:type="spellEnd"/>
      <w:proofErr w:type="gramEnd"/>
      <w:r>
        <w:rPr>
          <w:sz w:val="20"/>
        </w:rPr>
        <w:t>, П.В.Петров</w:t>
      </w:r>
      <w:r>
        <w:rPr>
          <w:sz w:val="20"/>
          <w:vertAlign w:val="superscript"/>
        </w:rPr>
        <w:t>2</w:t>
      </w:r>
      <w:r>
        <w:rPr>
          <w:sz w:val="20"/>
        </w:rPr>
        <w:t xml:space="preserve">, д-р </w:t>
      </w:r>
      <w:proofErr w:type="spellStart"/>
      <w:r>
        <w:rPr>
          <w:sz w:val="20"/>
        </w:rPr>
        <w:t>техн.наук</w:t>
      </w:r>
      <w:proofErr w:type="spellEnd"/>
      <w:r>
        <w:rPr>
          <w:sz w:val="20"/>
        </w:rPr>
        <w:t xml:space="preserve"> </w:t>
      </w:r>
    </w:p>
    <w:p w:rsidR="006A1956" w:rsidRDefault="00151B91">
      <w:pPr>
        <w:spacing w:after="29" w:line="259" w:lineRule="auto"/>
        <w:ind w:left="281" w:right="3353"/>
        <w:jc w:val="left"/>
      </w:pPr>
      <w:r>
        <w:rPr>
          <w:sz w:val="20"/>
          <w:vertAlign w:val="superscript"/>
        </w:rPr>
        <w:t>1</w:t>
      </w:r>
      <w:r>
        <w:rPr>
          <w:sz w:val="20"/>
        </w:rPr>
        <w:t>ОА</w:t>
      </w:r>
      <w:r>
        <w:rPr>
          <w:sz w:val="20"/>
        </w:rPr>
        <w:t>О «Концерн «</w:t>
      </w:r>
      <w:proofErr w:type="spellStart"/>
      <w:r>
        <w:rPr>
          <w:sz w:val="20"/>
        </w:rPr>
        <w:t>Океанприбор</w:t>
      </w:r>
      <w:proofErr w:type="spellEnd"/>
      <w:r>
        <w:rPr>
          <w:sz w:val="20"/>
        </w:rPr>
        <w:t xml:space="preserve">», Санкт-Петербург, Россия </w:t>
      </w:r>
      <w:r>
        <w:rPr>
          <w:sz w:val="20"/>
          <w:vertAlign w:val="superscript"/>
        </w:rPr>
        <w:t>2</w:t>
      </w:r>
      <w:r>
        <w:rPr>
          <w:sz w:val="20"/>
        </w:rPr>
        <w:t>ФГУНПП «</w:t>
      </w:r>
      <w:proofErr w:type="spellStart"/>
      <w:r>
        <w:rPr>
          <w:sz w:val="20"/>
        </w:rPr>
        <w:t>Севморгео</w:t>
      </w:r>
      <w:proofErr w:type="spellEnd"/>
      <w:r>
        <w:rPr>
          <w:sz w:val="20"/>
        </w:rPr>
        <w:t xml:space="preserve">», Санкт-Петербург, Россия </w:t>
      </w:r>
    </w:p>
    <w:p w:rsidR="006A1956" w:rsidRDefault="00151B91">
      <w:pPr>
        <w:spacing w:after="17" w:line="259" w:lineRule="auto"/>
        <w:ind w:left="286" w:right="0" w:firstLine="0"/>
        <w:jc w:val="left"/>
      </w:pPr>
      <w:r>
        <w:rPr>
          <w:sz w:val="20"/>
        </w:rPr>
        <w:t xml:space="preserve"> </w:t>
      </w:r>
    </w:p>
    <w:p w:rsidR="006A1956" w:rsidRPr="00151B91" w:rsidRDefault="00151B91">
      <w:pPr>
        <w:ind w:left="281" w:right="0"/>
        <w:rPr>
          <w:lang w:val="en-US"/>
        </w:rPr>
      </w:pPr>
      <w:r w:rsidRPr="00151B91">
        <w:rPr>
          <w:lang w:val="en-US"/>
        </w:rPr>
        <w:t xml:space="preserve">ADVANCED TECHNOLOGIES </w:t>
      </w:r>
    </w:p>
    <w:p w:rsidR="006A1956" w:rsidRPr="00151B91" w:rsidRDefault="00151B91">
      <w:pPr>
        <w:spacing w:after="3" w:line="259" w:lineRule="auto"/>
        <w:ind w:left="281" w:right="1139"/>
        <w:jc w:val="left"/>
        <w:rPr>
          <w:lang w:val="en-US"/>
        </w:rPr>
      </w:pPr>
      <w:r w:rsidRPr="00151B91">
        <w:rPr>
          <w:sz w:val="20"/>
          <w:lang w:val="en-US"/>
        </w:rPr>
        <w:t>A.</w:t>
      </w:r>
      <w:proofErr w:type="gramStart"/>
      <w:r w:rsidRPr="00151B91">
        <w:rPr>
          <w:sz w:val="20"/>
          <w:lang w:val="en-US"/>
        </w:rPr>
        <w:t>A.Ivanov</w:t>
      </w:r>
      <w:proofErr w:type="gramEnd"/>
      <w:r w:rsidRPr="00151B91">
        <w:rPr>
          <w:sz w:val="20"/>
          <w:vertAlign w:val="superscript"/>
          <w:lang w:val="en-US"/>
        </w:rPr>
        <w:t>1</w:t>
      </w:r>
      <w:r w:rsidRPr="00151B91">
        <w:rPr>
          <w:sz w:val="20"/>
          <w:lang w:val="en-US"/>
        </w:rPr>
        <w:t>, I.R.Lavrov</w:t>
      </w:r>
      <w:r w:rsidRPr="00151B91">
        <w:rPr>
          <w:sz w:val="20"/>
          <w:vertAlign w:val="superscript"/>
          <w:lang w:val="en-US"/>
        </w:rPr>
        <w:t>1</w:t>
      </w:r>
      <w:r w:rsidRPr="00151B91">
        <w:rPr>
          <w:sz w:val="20"/>
          <w:lang w:val="en-US"/>
        </w:rPr>
        <w:t xml:space="preserve">, </w:t>
      </w:r>
      <w:proofErr w:type="spellStart"/>
      <w:r w:rsidRPr="00151B91">
        <w:rPr>
          <w:sz w:val="20"/>
          <w:lang w:val="en-US"/>
        </w:rPr>
        <w:t>Cand.Sc</w:t>
      </w:r>
      <w:proofErr w:type="spellEnd"/>
      <w:r w:rsidRPr="00151B91">
        <w:rPr>
          <w:sz w:val="20"/>
          <w:lang w:val="en-US"/>
        </w:rPr>
        <w:t>., P.V.Petrov</w:t>
      </w:r>
      <w:r w:rsidRPr="00151B91">
        <w:rPr>
          <w:sz w:val="20"/>
          <w:vertAlign w:val="superscript"/>
          <w:lang w:val="en-US"/>
        </w:rPr>
        <w:t>2</w:t>
      </w:r>
      <w:r w:rsidRPr="00151B91">
        <w:rPr>
          <w:sz w:val="20"/>
          <w:lang w:val="en-US"/>
        </w:rPr>
        <w:t xml:space="preserve">, </w:t>
      </w:r>
      <w:proofErr w:type="spellStart"/>
      <w:r w:rsidRPr="00151B91">
        <w:rPr>
          <w:sz w:val="20"/>
          <w:lang w:val="en-US"/>
        </w:rPr>
        <w:t>Dr.Sc</w:t>
      </w:r>
      <w:proofErr w:type="spellEnd"/>
      <w:r w:rsidRPr="00151B91">
        <w:rPr>
          <w:sz w:val="20"/>
          <w:lang w:val="en-US"/>
        </w:rPr>
        <w:t xml:space="preserve">. </w:t>
      </w:r>
    </w:p>
    <w:p w:rsidR="006A1956" w:rsidRPr="00151B91" w:rsidRDefault="00151B91">
      <w:pPr>
        <w:spacing w:after="3" w:line="259" w:lineRule="auto"/>
        <w:ind w:left="281" w:right="1139"/>
        <w:jc w:val="left"/>
        <w:rPr>
          <w:lang w:val="en-US"/>
        </w:rPr>
      </w:pPr>
      <w:r w:rsidRPr="00151B91">
        <w:rPr>
          <w:sz w:val="20"/>
          <w:vertAlign w:val="superscript"/>
          <w:lang w:val="en-US"/>
        </w:rPr>
        <w:t>1</w:t>
      </w:r>
      <w:r w:rsidRPr="00151B91">
        <w:rPr>
          <w:sz w:val="20"/>
          <w:lang w:val="en-US"/>
        </w:rPr>
        <w:t>JSC «</w:t>
      </w:r>
      <w:proofErr w:type="spellStart"/>
      <w:r w:rsidRPr="00151B91">
        <w:rPr>
          <w:sz w:val="20"/>
          <w:lang w:val="en-US"/>
        </w:rPr>
        <w:t>Oceanpribor</w:t>
      </w:r>
      <w:proofErr w:type="spellEnd"/>
      <w:r w:rsidRPr="00151B91">
        <w:rPr>
          <w:sz w:val="20"/>
          <w:lang w:val="en-US"/>
        </w:rPr>
        <w:t xml:space="preserve">», St. Petersburg, Russia </w:t>
      </w:r>
    </w:p>
    <w:p w:rsidR="006A1956" w:rsidRPr="00151B91" w:rsidRDefault="00151B91">
      <w:pPr>
        <w:spacing w:after="3" w:line="259" w:lineRule="auto"/>
        <w:ind w:left="281" w:right="1139"/>
        <w:jc w:val="left"/>
        <w:rPr>
          <w:lang w:val="en-US"/>
        </w:rPr>
      </w:pPr>
      <w:r w:rsidRPr="00151B91">
        <w:rPr>
          <w:sz w:val="20"/>
          <w:vertAlign w:val="superscript"/>
          <w:lang w:val="en-US"/>
        </w:rPr>
        <w:t>2</w:t>
      </w:r>
      <w:r w:rsidRPr="00151B91">
        <w:rPr>
          <w:sz w:val="20"/>
          <w:lang w:val="en-US"/>
        </w:rPr>
        <w:t>State Company «</w:t>
      </w:r>
      <w:proofErr w:type="spellStart"/>
      <w:r w:rsidRPr="00151B91">
        <w:rPr>
          <w:sz w:val="20"/>
          <w:lang w:val="en-US"/>
        </w:rPr>
        <w:t>Sevmorgeo</w:t>
      </w:r>
      <w:proofErr w:type="spellEnd"/>
      <w:r w:rsidRPr="00151B91">
        <w:rPr>
          <w:sz w:val="20"/>
          <w:lang w:val="en-US"/>
        </w:rPr>
        <w:t xml:space="preserve">», </w:t>
      </w:r>
      <w:r w:rsidRPr="00151B91">
        <w:rPr>
          <w:sz w:val="20"/>
          <w:lang w:val="en-US"/>
        </w:rPr>
        <w:t xml:space="preserve">St. Petersburg, Russia </w:t>
      </w:r>
    </w:p>
    <w:p w:rsidR="006A1956" w:rsidRPr="00151B91" w:rsidRDefault="00151B91">
      <w:pPr>
        <w:spacing w:after="0" w:line="259" w:lineRule="auto"/>
        <w:ind w:left="286" w:right="0" w:firstLine="0"/>
        <w:jc w:val="left"/>
        <w:rPr>
          <w:lang w:val="en-US"/>
        </w:rPr>
      </w:pPr>
      <w:r w:rsidRPr="00151B91">
        <w:rPr>
          <w:sz w:val="20"/>
          <w:lang w:val="en-US"/>
        </w:rPr>
        <w:t xml:space="preserve"> </w:t>
      </w:r>
    </w:p>
    <w:p w:rsidR="006A1956" w:rsidRDefault="00151B91">
      <w:pPr>
        <w:spacing w:after="2" w:line="249" w:lineRule="auto"/>
        <w:ind w:left="281" w:right="278"/>
      </w:pPr>
      <w:r>
        <w:rPr>
          <w:i/>
          <w:sz w:val="20"/>
        </w:rPr>
        <w:t xml:space="preserve">Рассматриваются вопросы моделирования акустического поля на основе теории </w:t>
      </w:r>
      <w:proofErr w:type="spellStart"/>
      <w:r>
        <w:rPr>
          <w:i/>
          <w:sz w:val="20"/>
        </w:rPr>
        <w:t>многоагентных</w:t>
      </w:r>
      <w:proofErr w:type="spellEnd"/>
      <w:r>
        <w:rPr>
          <w:i/>
          <w:sz w:val="20"/>
        </w:rPr>
        <w:t xml:space="preserve"> систем. Известно, что расчет акустического поля достаточно сложная задача, в процессе решения которой учитывается огромное число факторов, мно</w:t>
      </w:r>
      <w:r>
        <w:rPr>
          <w:i/>
          <w:sz w:val="20"/>
        </w:rPr>
        <w:t>гие из которых не являются числовыми или сводимыми к двузначной логике «да», «</w:t>
      </w:r>
      <w:proofErr w:type="gramStart"/>
      <w:r>
        <w:rPr>
          <w:i/>
          <w:sz w:val="20"/>
        </w:rPr>
        <w:t>нет»…</w:t>
      </w:r>
      <w:proofErr w:type="gramEnd"/>
      <w:r>
        <w:rPr>
          <w:i/>
          <w:sz w:val="20"/>
        </w:rPr>
        <w:t xml:space="preserve"> </w:t>
      </w:r>
    </w:p>
    <w:p w:rsidR="006A1956" w:rsidRDefault="00151B91">
      <w:pPr>
        <w:spacing w:after="0" w:line="259" w:lineRule="auto"/>
        <w:ind w:left="286" w:right="0" w:firstLine="0"/>
        <w:jc w:val="left"/>
      </w:pPr>
      <w:r>
        <w:rPr>
          <w:sz w:val="20"/>
        </w:rPr>
        <w:t xml:space="preserve"> </w:t>
      </w:r>
    </w:p>
    <w:p w:rsidR="006A1956" w:rsidRPr="00151B91" w:rsidRDefault="00151B91">
      <w:pPr>
        <w:spacing w:after="2" w:line="249" w:lineRule="auto"/>
        <w:ind w:left="281" w:right="278"/>
        <w:rPr>
          <w:lang w:val="en-US"/>
        </w:rPr>
      </w:pPr>
      <w:r w:rsidRPr="00151B91">
        <w:rPr>
          <w:i/>
          <w:sz w:val="20"/>
          <w:lang w:val="en-US"/>
        </w:rPr>
        <w:t>Science material obtained in the already accomplished and currently continued experiments on acoustic thermometry of the ocean, allows us to make some conclusions regard</w:t>
      </w:r>
      <w:r w:rsidRPr="00151B91">
        <w:rPr>
          <w:i/>
          <w:sz w:val="20"/>
          <w:lang w:val="en-US"/>
        </w:rPr>
        <w:t xml:space="preserve">ing the perspective of using underwater acoustics for investigation of the ocean climatic variability and design the plans of more comprehensive ongoing experiments. Each of the four oceans plays its own distinct role in forming the global climate… </w:t>
      </w:r>
    </w:p>
    <w:p w:rsidR="006A1956" w:rsidRPr="00151B91" w:rsidRDefault="00151B91">
      <w:pPr>
        <w:spacing w:after="0" w:line="259" w:lineRule="auto"/>
        <w:ind w:left="286" w:right="0" w:firstLine="0"/>
        <w:jc w:val="left"/>
        <w:rPr>
          <w:lang w:val="en-US"/>
        </w:rPr>
      </w:pPr>
      <w:r w:rsidRPr="00151B91">
        <w:rPr>
          <w:sz w:val="20"/>
          <w:lang w:val="en-US"/>
        </w:rPr>
        <w:t xml:space="preserve"> </w:t>
      </w:r>
    </w:p>
    <w:p w:rsidR="006A1956" w:rsidRPr="00151B91" w:rsidRDefault="00151B91">
      <w:pPr>
        <w:spacing w:after="41" w:line="259" w:lineRule="auto"/>
        <w:ind w:left="286" w:right="0" w:firstLine="0"/>
        <w:jc w:val="left"/>
        <w:rPr>
          <w:lang w:val="en-US"/>
        </w:rPr>
      </w:pPr>
      <w:r w:rsidRPr="00151B91">
        <w:rPr>
          <w:sz w:val="20"/>
          <w:lang w:val="en-US"/>
        </w:rPr>
        <w:t xml:space="preserve"> </w:t>
      </w:r>
    </w:p>
    <w:p w:rsidR="006A1956" w:rsidRDefault="00151B91">
      <w:pPr>
        <w:spacing w:after="0" w:line="258" w:lineRule="auto"/>
        <w:ind w:left="271" w:right="272" w:firstLine="331"/>
      </w:pPr>
      <w:r>
        <w:rPr>
          <w:sz w:val="22"/>
        </w:rPr>
        <w:t>Пр</w:t>
      </w:r>
      <w:r>
        <w:rPr>
          <w:sz w:val="22"/>
        </w:rPr>
        <w:t xml:space="preserve">отяженные низкочастотные пассивные акустические антенны, буксируемые за </w:t>
      </w:r>
      <w:proofErr w:type="spellStart"/>
      <w:r>
        <w:rPr>
          <w:sz w:val="22"/>
        </w:rPr>
        <w:t>кораблемносителем</w:t>
      </w:r>
      <w:proofErr w:type="spellEnd"/>
      <w:r>
        <w:rPr>
          <w:sz w:val="22"/>
        </w:rPr>
        <w:t xml:space="preserve">, используются для обнаружения морских целей, исследования шумов морской среды и разведки полезных ископаемых на море [1]. </w:t>
      </w:r>
    </w:p>
    <w:p w:rsidR="006A1956" w:rsidRDefault="00151B91">
      <w:pPr>
        <w:spacing w:after="0" w:line="258" w:lineRule="auto"/>
        <w:ind w:left="271" w:right="272" w:firstLine="331"/>
      </w:pPr>
      <w:r>
        <w:rPr>
          <w:sz w:val="22"/>
        </w:rPr>
        <w:t>Шумы морской среды – один из элементов, опр</w:t>
      </w:r>
      <w:r>
        <w:rPr>
          <w:sz w:val="22"/>
        </w:rPr>
        <w:t xml:space="preserve">еделяющих эффективность использования протяженной буксируемой антенны. Основными составляющими шумов морской среды являются ветровые шумы и шумы дальнего судоходства [2]. </w:t>
      </w:r>
    </w:p>
    <w:p w:rsidR="006A1956" w:rsidRDefault="00151B91">
      <w:pPr>
        <w:spacing w:after="0" w:line="259" w:lineRule="auto"/>
        <w:ind w:left="286" w:right="0" w:firstLine="0"/>
        <w:jc w:val="left"/>
      </w:pPr>
      <w:r>
        <w:rPr>
          <w:sz w:val="22"/>
        </w:rPr>
        <w:t xml:space="preserve"> </w:t>
      </w:r>
    </w:p>
    <w:p w:rsidR="006A1956" w:rsidRDefault="00151B91">
      <w:pPr>
        <w:spacing w:after="17" w:line="259" w:lineRule="auto"/>
        <w:ind w:left="286" w:right="0" w:firstLine="0"/>
        <w:jc w:val="left"/>
      </w:pPr>
      <w:r>
        <w:rPr>
          <w:b/>
          <w:sz w:val="20"/>
        </w:rPr>
        <w:t xml:space="preserve">Литература </w:t>
      </w:r>
    </w:p>
    <w:p w:rsidR="006A1956" w:rsidRDefault="00151B91">
      <w:pPr>
        <w:numPr>
          <w:ilvl w:val="0"/>
          <w:numId w:val="3"/>
        </w:numPr>
        <w:spacing w:after="3" w:line="259" w:lineRule="auto"/>
        <w:ind w:right="1139" w:hanging="283"/>
        <w:jc w:val="left"/>
      </w:pPr>
      <w:proofErr w:type="spellStart"/>
      <w:r>
        <w:rPr>
          <w:sz w:val="20"/>
        </w:rPr>
        <w:t>Робинер</w:t>
      </w:r>
      <w:proofErr w:type="spellEnd"/>
      <w:r>
        <w:rPr>
          <w:sz w:val="20"/>
        </w:rPr>
        <w:t xml:space="preserve"> Л., </w:t>
      </w:r>
      <w:proofErr w:type="spellStart"/>
      <w:r>
        <w:rPr>
          <w:sz w:val="20"/>
        </w:rPr>
        <w:t>Гоулд</w:t>
      </w:r>
      <w:proofErr w:type="spellEnd"/>
      <w:r>
        <w:rPr>
          <w:sz w:val="20"/>
        </w:rPr>
        <w:t xml:space="preserve"> Б. Теория цифровой обработки. М.: Мир, 1978. </w:t>
      </w:r>
    </w:p>
    <w:p w:rsidR="006A1956" w:rsidRDefault="00151B91">
      <w:pPr>
        <w:numPr>
          <w:ilvl w:val="0"/>
          <w:numId w:val="3"/>
        </w:numPr>
        <w:spacing w:after="3" w:line="259" w:lineRule="auto"/>
        <w:ind w:right="1139" w:hanging="283"/>
        <w:jc w:val="left"/>
      </w:pPr>
      <w:proofErr w:type="spellStart"/>
      <w:r w:rsidRPr="00151B91">
        <w:rPr>
          <w:sz w:val="20"/>
          <w:lang w:val="en-US"/>
        </w:rPr>
        <w:t>Hotelling</w:t>
      </w:r>
      <w:proofErr w:type="spellEnd"/>
      <w:r w:rsidRPr="00151B91">
        <w:rPr>
          <w:sz w:val="20"/>
          <w:lang w:val="en-US"/>
        </w:rPr>
        <w:t xml:space="preserve"> H. The generalization of Student’s ratio // Ann. </w:t>
      </w:r>
      <w:proofErr w:type="spellStart"/>
      <w:r>
        <w:rPr>
          <w:sz w:val="20"/>
        </w:rPr>
        <w:t>Math</w:t>
      </w:r>
      <w:proofErr w:type="spellEnd"/>
      <w:r>
        <w:rPr>
          <w:sz w:val="20"/>
        </w:rPr>
        <w:t xml:space="preserve">. </w:t>
      </w:r>
      <w:proofErr w:type="spellStart"/>
      <w:r>
        <w:rPr>
          <w:sz w:val="20"/>
        </w:rPr>
        <w:t>Stat</w:t>
      </w:r>
      <w:proofErr w:type="spellEnd"/>
      <w:r>
        <w:rPr>
          <w:sz w:val="20"/>
        </w:rPr>
        <w:t>. 1961. V.2, N 1. P.360-378. 3.</w:t>
      </w:r>
      <w:r>
        <w:rPr>
          <w:rFonts w:ascii="Arial" w:eastAsia="Arial" w:hAnsi="Arial" w:cs="Arial"/>
          <w:sz w:val="20"/>
        </w:rPr>
        <w:t xml:space="preserve"> </w:t>
      </w:r>
      <w:r>
        <w:rPr>
          <w:sz w:val="20"/>
        </w:rPr>
        <w:t xml:space="preserve">Рябинин В.А. Слой над частицами // Тр. </w:t>
      </w:r>
      <w:proofErr w:type="spellStart"/>
      <w:r>
        <w:rPr>
          <w:sz w:val="20"/>
        </w:rPr>
        <w:t>конф</w:t>
      </w:r>
      <w:proofErr w:type="spellEnd"/>
      <w:r>
        <w:rPr>
          <w:sz w:val="20"/>
        </w:rPr>
        <w:t xml:space="preserve">. 2005. С.25-28. </w:t>
      </w:r>
    </w:p>
    <w:p w:rsidR="006A1956" w:rsidRDefault="00151B91" w:rsidP="00151B91">
      <w:pPr>
        <w:spacing w:after="0" w:line="259" w:lineRule="auto"/>
        <w:ind w:left="286" w:right="0" w:firstLine="0"/>
        <w:jc w:val="left"/>
      </w:pPr>
      <w:r>
        <w:t xml:space="preserve"> </w:t>
      </w:r>
      <w:r>
        <w:t xml:space="preserve"> </w:t>
      </w:r>
    </w:p>
    <w:p w:rsidR="006A1956" w:rsidRDefault="00151B91">
      <w:pPr>
        <w:ind w:left="271" w:right="0" w:firstLine="283"/>
      </w:pPr>
      <w:r>
        <w:t>Срок приема электронного варианта доклада, экспертного заключения о возможности опублико</w:t>
      </w:r>
      <w:r>
        <w:t xml:space="preserve">вания его в открытой печати </w:t>
      </w:r>
      <w:r>
        <w:rPr>
          <w:b/>
        </w:rPr>
        <w:t>до 1 июля</w:t>
      </w:r>
      <w:r>
        <w:rPr>
          <w:b/>
        </w:rPr>
        <w:t xml:space="preserve"> 2023</w:t>
      </w:r>
      <w:r>
        <w:rPr>
          <w:b/>
        </w:rPr>
        <w:t xml:space="preserve"> г.</w:t>
      </w:r>
      <w:r>
        <w:t xml:space="preserve"> </w:t>
      </w:r>
    </w:p>
    <w:p w:rsidR="006A1956" w:rsidRDefault="00151B91" w:rsidP="00151B91">
      <w:pPr>
        <w:ind w:left="271" w:right="0" w:firstLine="283"/>
      </w:pPr>
      <w:r>
        <w:t>Экспертное заключение установленного образца в отсканированном виде необходимо пред</w:t>
      </w:r>
      <w:bookmarkStart w:id="0" w:name="_GoBack"/>
      <w:bookmarkEnd w:id="0"/>
      <w:r>
        <w:t xml:space="preserve">ставить по электронной почте и выслать </w:t>
      </w:r>
      <w:r w:rsidRPr="00151B91">
        <w:t>простым письмом</w:t>
      </w:r>
      <w:r>
        <w:t xml:space="preserve"> в адрес секретариата конференции. </w:t>
      </w:r>
    </w:p>
    <w:p w:rsidR="00151B91" w:rsidRDefault="00151B91" w:rsidP="00151B91">
      <w:pPr>
        <w:spacing w:after="27" w:line="259" w:lineRule="auto"/>
        <w:ind w:right="0"/>
        <w:jc w:val="left"/>
        <w:rPr>
          <w:b/>
        </w:rPr>
      </w:pPr>
      <w:proofErr w:type="gramStart"/>
      <w:r>
        <w:rPr>
          <w:b/>
        </w:rPr>
        <w:t xml:space="preserve">Адрес:  </w:t>
      </w:r>
      <w:r>
        <w:rPr>
          <w:sz w:val="22"/>
        </w:rPr>
        <w:t>Оргкомитет</w:t>
      </w:r>
      <w:proofErr w:type="gramEnd"/>
      <w:r>
        <w:rPr>
          <w:sz w:val="22"/>
        </w:rPr>
        <w:t xml:space="preserve"> ONW’2023</w:t>
      </w:r>
      <w:r>
        <w:rPr>
          <w:sz w:val="22"/>
        </w:rPr>
        <w:t xml:space="preserve">, </w:t>
      </w:r>
      <w:proofErr w:type="spellStart"/>
      <w:r>
        <w:rPr>
          <w:sz w:val="22"/>
        </w:rPr>
        <w:t>СПбФ</w:t>
      </w:r>
      <w:proofErr w:type="spellEnd"/>
      <w:r>
        <w:rPr>
          <w:sz w:val="22"/>
        </w:rPr>
        <w:t xml:space="preserve"> ИО РАН, </w:t>
      </w:r>
      <w:r>
        <w:rPr>
          <w:sz w:val="22"/>
        </w:rPr>
        <w:t>Санкт-Петербург, 1 линия, д. 30</w:t>
      </w:r>
      <w:r>
        <w:rPr>
          <w:b/>
          <w:sz w:val="22"/>
        </w:rPr>
        <w:t xml:space="preserve"> </w:t>
      </w:r>
      <w:r>
        <w:rPr>
          <w:b/>
        </w:rPr>
        <w:t xml:space="preserve"> </w:t>
      </w:r>
      <w:r>
        <w:rPr>
          <w:b/>
        </w:rPr>
        <w:t xml:space="preserve">              </w:t>
      </w:r>
    </w:p>
    <w:p w:rsidR="006A1956" w:rsidRPr="00151B91" w:rsidRDefault="00151B91">
      <w:pPr>
        <w:spacing w:after="0" w:line="244" w:lineRule="auto"/>
        <w:ind w:left="296" w:right="2678"/>
        <w:rPr>
          <w:lang w:val="en-US"/>
        </w:rPr>
      </w:pPr>
      <w:r w:rsidRPr="00151B91">
        <w:rPr>
          <w:b/>
        </w:rPr>
        <w:t xml:space="preserve">    </w:t>
      </w:r>
      <w:r>
        <w:rPr>
          <w:b/>
        </w:rPr>
        <w:t>тел</w:t>
      </w:r>
      <w:r w:rsidRPr="00151B91">
        <w:rPr>
          <w:b/>
          <w:lang w:val="en-US"/>
        </w:rPr>
        <w:t>.: +7 (981) 812</w:t>
      </w:r>
      <w:r>
        <w:rPr>
          <w:b/>
          <w:lang w:val="en-US"/>
        </w:rPr>
        <w:t>-</w:t>
      </w:r>
      <w:r w:rsidRPr="00151B91">
        <w:rPr>
          <w:b/>
          <w:lang w:val="en-US"/>
        </w:rPr>
        <w:t>2875</w:t>
      </w:r>
      <w:r>
        <w:rPr>
          <w:b/>
          <w:lang w:val="en-US"/>
        </w:rPr>
        <w:t>;</w:t>
      </w:r>
      <w:r w:rsidRPr="00151B91">
        <w:rPr>
          <w:b/>
          <w:lang w:val="en-US"/>
        </w:rPr>
        <w:t xml:space="preserve"> E-mail:  </w:t>
      </w:r>
      <w:hyperlink r:id="rId5" w:history="1">
        <w:r w:rsidRPr="00151B91">
          <w:rPr>
            <w:rStyle w:val="a3"/>
            <w:b/>
            <w:sz w:val="22"/>
            <w:u w:color="0000FF"/>
            <w:lang w:val="en-US"/>
          </w:rPr>
          <w:t>onwconf@ma</w:t>
        </w:r>
        <w:r w:rsidRPr="00151B91">
          <w:rPr>
            <w:rStyle w:val="a3"/>
            <w:b/>
            <w:sz w:val="22"/>
            <w:u w:color="0000FF"/>
            <w:lang w:val="en-US"/>
          </w:rPr>
          <w:t>i</w:t>
        </w:r>
        <w:r w:rsidRPr="00151B91">
          <w:rPr>
            <w:rStyle w:val="a3"/>
            <w:b/>
            <w:sz w:val="22"/>
            <w:u w:color="0000FF"/>
            <w:lang w:val="en-US"/>
          </w:rPr>
          <w:t>l.ru</w:t>
        </w:r>
      </w:hyperlink>
    </w:p>
    <w:p w:rsidR="006A1956" w:rsidRPr="00151B91" w:rsidRDefault="00151B91">
      <w:pPr>
        <w:spacing w:after="0" w:line="259" w:lineRule="auto"/>
        <w:ind w:left="286" w:right="0" w:firstLine="0"/>
        <w:jc w:val="left"/>
        <w:rPr>
          <w:lang w:val="en-US"/>
        </w:rPr>
      </w:pPr>
      <w:r w:rsidRPr="00151B91">
        <w:rPr>
          <w:b/>
          <w:lang w:val="en-US"/>
        </w:rPr>
        <w:lastRenderedPageBreak/>
        <w:t xml:space="preserve"> </w:t>
      </w:r>
    </w:p>
    <w:sectPr w:rsidR="006A1956" w:rsidRPr="00151B91">
      <w:pgSz w:w="11906" w:h="16838"/>
      <w:pgMar w:top="1049" w:right="1128" w:bottom="136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077"/>
    <w:multiLevelType w:val="hybridMultilevel"/>
    <w:tmpl w:val="9C249274"/>
    <w:lvl w:ilvl="0" w:tplc="0FCA22EE">
      <w:start w:val="4"/>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E10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250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2D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C6D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C7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8C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E6E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88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EE526A"/>
    <w:multiLevelType w:val="hybridMultilevel"/>
    <w:tmpl w:val="EA58CC7A"/>
    <w:lvl w:ilvl="0" w:tplc="E992362E">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06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2BD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8B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CD7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68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ED9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0D5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0DC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EF4977"/>
    <w:multiLevelType w:val="hybridMultilevel"/>
    <w:tmpl w:val="44EEF172"/>
    <w:lvl w:ilvl="0" w:tplc="3376BF18">
      <w:start w:val="1"/>
      <w:numFmt w:val="decimal"/>
      <w:lvlText w:val="%1."/>
      <w:lvlJc w:val="left"/>
      <w:pPr>
        <w:ind w:left="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62A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CA1F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72B2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F8FD6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26B2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D28F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28FD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8E1C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56"/>
    <w:rsid w:val="00151B91"/>
    <w:rsid w:val="006A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0D4A"/>
  <w15:docId w15:val="{58E4D052-686A-4823-860C-8AF3D88A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68" w:lineRule="auto"/>
      <w:ind w:left="10" w:right="3"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B91"/>
    <w:rPr>
      <w:color w:val="0563C1" w:themeColor="hyperlink"/>
      <w:u w:val="single"/>
    </w:rPr>
  </w:style>
  <w:style w:type="character" w:styleId="a4">
    <w:name w:val="FollowedHyperlink"/>
    <w:basedOn w:val="a0"/>
    <w:uiPriority w:val="99"/>
    <w:semiHidden/>
    <w:unhideWhenUsed/>
    <w:rsid w:val="00151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wconf@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4830</Characters>
  <Application>Microsoft Office Word</Application>
  <DocSecurity>0</DocSecurity>
  <Lines>40</Lines>
  <Paragraphs>11</Paragraphs>
  <ScaleCrop>false</ScaleCrop>
  <Company>diakov.net</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IХ Всероссийская конференция</dc:title>
  <dc:subject>ГА-2006</dc:subject>
  <dc:creator>Алла</dc:creator>
  <cp:keywords/>
  <cp:lastModifiedBy>RePack by Diakov</cp:lastModifiedBy>
  <cp:revision>2</cp:revision>
  <dcterms:created xsi:type="dcterms:W3CDTF">2023-04-10T13:43:00Z</dcterms:created>
  <dcterms:modified xsi:type="dcterms:W3CDTF">2023-04-10T13:43:00Z</dcterms:modified>
</cp:coreProperties>
</file>